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8F" w:rsidRPr="0043128F" w:rsidRDefault="0043128F" w:rsidP="0043128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3128F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956B76" w:rsidRPr="00157499" w:rsidRDefault="00660098" w:rsidP="00857E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7499">
        <w:rPr>
          <w:rFonts w:ascii="Times New Roman" w:hAnsi="Times New Roman" w:cs="Times New Roman"/>
          <w:sz w:val="24"/>
          <w:szCs w:val="24"/>
        </w:rPr>
        <w:t xml:space="preserve">There were one hundred and seventy-two students in the </w:t>
      </w:r>
      <w:r w:rsidR="00956B76" w:rsidRPr="00157499">
        <w:rPr>
          <w:rFonts w:ascii="Times New Roman" w:hAnsi="Times New Roman" w:cs="Times New Roman"/>
          <w:sz w:val="24"/>
          <w:szCs w:val="24"/>
        </w:rPr>
        <w:t xml:space="preserve">study. </w:t>
      </w:r>
      <w:r w:rsidRPr="00157499">
        <w:rPr>
          <w:rFonts w:ascii="Times New Roman" w:hAnsi="Times New Roman" w:cs="Times New Roman"/>
          <w:sz w:val="24"/>
          <w:szCs w:val="24"/>
        </w:rPr>
        <w:t xml:space="preserve">More juniors expressed interest in forensic psychology than any other group, with 8 students this year choosing this as their top interest area.  The mean number of countries visited by </w:t>
      </w:r>
      <w:r w:rsidRPr="00157499">
        <w:rPr>
          <w:rFonts w:ascii="Times New Roman" w:hAnsi="Times New Roman" w:cs="Times New Roman"/>
          <w:sz w:val="24"/>
          <w:szCs w:val="24"/>
        </w:rPr>
        <w:t>students in sophomore was 4.86, the junior was 3.20, and seniors were 2.89.</w:t>
      </w:r>
      <w:r w:rsidR="00AB2014" w:rsidRPr="00157499">
        <w:rPr>
          <w:rFonts w:ascii="Times New Roman" w:hAnsi="Times New Roman" w:cs="Times New Roman"/>
          <w:sz w:val="24"/>
          <w:szCs w:val="24"/>
        </w:rPr>
        <w:t xml:space="preserve"> </w:t>
      </w:r>
      <w:r w:rsidRPr="00157499">
        <w:rPr>
          <w:rFonts w:ascii="Times New Roman" w:hAnsi="Times New Roman" w:cs="Times New Roman"/>
          <w:sz w:val="24"/>
          <w:szCs w:val="24"/>
        </w:rPr>
        <w:t>The pirate plot</w:t>
      </w:r>
      <w:r w:rsidRPr="00157499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is a graphical representation of the </w:t>
      </w:r>
      <w:r w:rsidR="00857E48">
        <w:rPr>
          <w:rFonts w:ascii="Times New Roman" w:hAnsi="Times New Roman" w:cs="Times New Roman"/>
          <w:sz w:val="24"/>
          <w:szCs w:val="24"/>
        </w:rPr>
        <w:t>raw data's distribution and</w:t>
      </w:r>
      <w:r w:rsidR="00857E48" w:rsidRPr="00857E48">
        <w:rPr>
          <w:rFonts w:ascii="Times New Roman" w:hAnsi="Times New Roman" w:cs="Times New Roman"/>
          <w:sz w:val="24"/>
          <w:szCs w:val="24"/>
        </w:rPr>
        <w:t xml:space="preserve"> descriptive statistics such as the mean, median, and mode</w:t>
      </w:r>
      <w:r w:rsidR="00AB2014" w:rsidRPr="00157499">
        <w:rPr>
          <w:rFonts w:ascii="Times New Roman" w:hAnsi="Times New Roman" w:cs="Times New Roman"/>
          <w:sz w:val="24"/>
          <w:szCs w:val="24"/>
        </w:rPr>
        <w:t xml:space="preserve">. </w:t>
      </w:r>
      <w:r w:rsidR="00857E48">
        <w:rPr>
          <w:rFonts w:ascii="Times New Roman" w:hAnsi="Times New Roman" w:cs="Times New Roman"/>
          <w:sz w:val="24"/>
          <w:szCs w:val="24"/>
        </w:rPr>
        <w:t xml:space="preserve">It indicates that, </w:t>
      </w:r>
      <w:r w:rsidR="00AB2014" w:rsidRPr="00157499">
        <w:rPr>
          <w:rFonts w:ascii="Times New Roman" w:hAnsi="Times New Roman" w:cs="Times New Roman"/>
          <w:sz w:val="24"/>
          <w:szCs w:val="24"/>
        </w:rPr>
        <w:t>as a student go</w:t>
      </w:r>
      <w:r w:rsidR="00857E48">
        <w:rPr>
          <w:rFonts w:ascii="Times New Roman" w:hAnsi="Times New Roman" w:cs="Times New Roman"/>
          <w:sz w:val="24"/>
          <w:szCs w:val="24"/>
        </w:rPr>
        <w:t>es</w:t>
      </w:r>
      <w:r w:rsidR="00AB2014" w:rsidRPr="00157499">
        <w:rPr>
          <w:rFonts w:ascii="Times New Roman" w:hAnsi="Times New Roman" w:cs="Times New Roman"/>
          <w:sz w:val="24"/>
          <w:szCs w:val="24"/>
        </w:rPr>
        <w:t xml:space="preserve"> up through their college years, the more they are l</w:t>
      </w:r>
      <w:r w:rsidR="00857E48">
        <w:rPr>
          <w:rFonts w:ascii="Times New Roman" w:hAnsi="Times New Roman" w:cs="Times New Roman"/>
          <w:sz w:val="24"/>
          <w:szCs w:val="24"/>
        </w:rPr>
        <w:t xml:space="preserve">ikely to visit other countries. While </w:t>
      </w:r>
      <w:r w:rsidR="00AB2014" w:rsidRPr="00157499">
        <w:rPr>
          <w:rFonts w:ascii="Times New Roman" w:hAnsi="Times New Roman" w:cs="Times New Roman"/>
          <w:sz w:val="24"/>
          <w:szCs w:val="24"/>
        </w:rPr>
        <w:t>e</w:t>
      </w:r>
      <w:r w:rsidR="00857E48">
        <w:rPr>
          <w:rFonts w:ascii="Times New Roman" w:hAnsi="Times New Roman" w:cs="Times New Roman"/>
          <w:sz w:val="24"/>
          <w:szCs w:val="24"/>
        </w:rPr>
        <w:t xml:space="preserve">xtreme values are exceptional students </w:t>
      </w:r>
      <w:r w:rsidR="00AB2014" w:rsidRPr="00157499">
        <w:rPr>
          <w:rFonts w:ascii="Times New Roman" w:hAnsi="Times New Roman" w:cs="Times New Roman"/>
          <w:sz w:val="24"/>
          <w:szCs w:val="24"/>
        </w:rPr>
        <w:t>who have an opportunity of traveling widely</w:t>
      </w:r>
      <w:r w:rsidRPr="00157499">
        <w:rPr>
          <w:rFonts w:ascii="Times New Roman" w:hAnsi="Times New Roman" w:cs="Times New Roman"/>
          <w:sz w:val="24"/>
          <w:szCs w:val="24"/>
        </w:rPr>
        <w:t>. The interquartile range is defined by the rectangular figures which extrapolate th</w:t>
      </w:r>
      <w:r w:rsidRPr="00157499">
        <w:rPr>
          <w:rFonts w:ascii="Times New Roman" w:hAnsi="Times New Roman" w:cs="Times New Roman"/>
          <w:sz w:val="24"/>
          <w:szCs w:val="24"/>
        </w:rPr>
        <w:t xml:space="preserve">e probability of data mean falling around </w:t>
      </w:r>
      <w:r w:rsidRPr="00157499">
        <w:rPr>
          <w:rFonts w:ascii="Times New Roman" w:hAnsi="Times New Roman" w:cs="Times New Roman"/>
          <w:sz w:val="24"/>
          <w:szCs w:val="24"/>
        </w:rPr>
        <w:t>that area</w:t>
      </w:r>
      <w:r w:rsidRPr="00157499">
        <w:rPr>
          <w:rFonts w:ascii="Times New Roman" w:hAnsi="Times New Roman" w:cs="Times New Roman"/>
          <w:sz w:val="24"/>
          <w:szCs w:val="24"/>
        </w:rPr>
        <w:t xml:space="preserve">. </w:t>
      </w:r>
      <w:r w:rsidR="00C0089A" w:rsidRPr="00157499">
        <w:rPr>
          <w:rFonts w:ascii="Times New Roman" w:hAnsi="Times New Roman" w:cs="Times New Roman"/>
          <w:sz w:val="24"/>
          <w:szCs w:val="24"/>
        </w:rPr>
        <w:t>Further on, a scatter plot is needed to identify if there is a relationship between height and the number of countries visited. The scatter plot does not show any correlation between height and the number of countries visited</w:t>
      </w:r>
      <w:r w:rsidR="00B269DF" w:rsidRPr="00157499">
        <w:rPr>
          <w:rFonts w:ascii="Times New Roman" w:hAnsi="Times New Roman" w:cs="Times New Roman"/>
          <w:sz w:val="24"/>
          <w:szCs w:val="24"/>
        </w:rPr>
        <w:t>. Even the correlation value of 0.14 support that there is a very weak to almost no correlation. These results were acquired after accounting for the missing</w:t>
      </w:r>
      <w:r w:rsidR="00857E48">
        <w:rPr>
          <w:rFonts w:ascii="Times New Roman" w:hAnsi="Times New Roman" w:cs="Times New Roman"/>
          <w:sz w:val="24"/>
          <w:szCs w:val="24"/>
        </w:rPr>
        <w:t xml:space="preserve"> data through pairwise deletion</w:t>
      </w:r>
      <w:r w:rsidR="00B269DF" w:rsidRPr="00157499">
        <w:rPr>
          <w:rFonts w:ascii="Times New Roman" w:hAnsi="Times New Roman" w:cs="Times New Roman"/>
          <w:sz w:val="24"/>
          <w:szCs w:val="24"/>
        </w:rPr>
        <w:t xml:space="preserve">. </w:t>
      </w:r>
      <w:r w:rsidRPr="00157499">
        <w:rPr>
          <w:rFonts w:ascii="Times New Roman" w:hAnsi="Times New Roman" w:cs="Times New Roman"/>
          <w:sz w:val="24"/>
          <w:szCs w:val="24"/>
        </w:rPr>
        <w:t>The intern</w:t>
      </w:r>
      <w:r w:rsidRPr="00157499">
        <w:rPr>
          <w:rFonts w:ascii="Times New Roman" w:hAnsi="Times New Roman" w:cs="Times New Roman"/>
          <w:sz w:val="24"/>
          <w:szCs w:val="24"/>
        </w:rPr>
        <w:t>al consistency reliability of the conscientiousness scale is 0.82, which is</w:t>
      </w:r>
      <w:r w:rsidR="00857E48">
        <w:rPr>
          <w:rFonts w:ascii="Times New Roman" w:hAnsi="Times New Roman" w:cs="Times New Roman"/>
          <w:sz w:val="24"/>
          <w:szCs w:val="24"/>
        </w:rPr>
        <w:t xml:space="preserve"> greater than 0.7</w:t>
      </w:r>
      <w:r w:rsidRPr="00157499">
        <w:rPr>
          <w:rFonts w:ascii="Times New Roman" w:hAnsi="Times New Roman" w:cs="Times New Roman"/>
          <w:sz w:val="24"/>
          <w:szCs w:val="24"/>
        </w:rPr>
        <w:t xml:space="preserve"> </w:t>
      </w:r>
      <w:r w:rsidR="00857E48">
        <w:rPr>
          <w:rFonts w:ascii="Times New Roman" w:hAnsi="Times New Roman" w:cs="Times New Roman"/>
          <w:sz w:val="24"/>
          <w:szCs w:val="24"/>
        </w:rPr>
        <w:t>that is the</w:t>
      </w:r>
      <w:r w:rsidRPr="00157499">
        <w:rPr>
          <w:rFonts w:ascii="Times New Roman" w:hAnsi="Times New Roman" w:cs="Times New Roman"/>
          <w:sz w:val="24"/>
          <w:szCs w:val="24"/>
        </w:rPr>
        <w:t xml:space="preserve"> acceptable level of reliability. </w:t>
      </w:r>
    </w:p>
    <w:p w:rsidR="0043128F" w:rsidRDefault="0043128F" w:rsidP="0015749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3128F" w:rsidRDefault="0043128F" w:rsidP="0015749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3128F" w:rsidRDefault="0043128F" w:rsidP="0015749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3128F" w:rsidRDefault="0043128F" w:rsidP="0015749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3128F" w:rsidRDefault="0043128F" w:rsidP="0015749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3128F" w:rsidRDefault="0043128F" w:rsidP="0015749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D041A" w:rsidRPr="00157499" w:rsidRDefault="00660098" w:rsidP="0015749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57499">
        <w:rPr>
          <w:rFonts w:ascii="Times New Roman" w:hAnsi="Times New Roman" w:cs="Times New Roman"/>
          <w:b/>
          <w:sz w:val="24"/>
          <w:szCs w:val="24"/>
        </w:rPr>
        <w:t>Table 1</w:t>
      </w:r>
    </w:p>
    <w:p w:rsidR="00B269DF" w:rsidRPr="00157499" w:rsidRDefault="00660098" w:rsidP="0015749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57499">
        <w:rPr>
          <w:rFonts w:ascii="Times New Roman" w:hAnsi="Times New Roman" w:cs="Times New Roman"/>
          <w:b/>
          <w:sz w:val="24"/>
          <w:szCs w:val="24"/>
        </w:rPr>
        <w:t xml:space="preserve">Descriptive statistics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492"/>
        <w:gridCol w:w="1399"/>
        <w:gridCol w:w="1493"/>
        <w:gridCol w:w="1493"/>
        <w:gridCol w:w="1493"/>
      </w:tblGrid>
      <w:tr w:rsidR="001132E2" w:rsidTr="000B0226"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9DF" w:rsidRPr="00157499" w:rsidRDefault="00B269DF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9DF" w:rsidRPr="00157499" w:rsidRDefault="00B269DF" w:rsidP="00157499">
            <w:pPr>
              <w:spacing w:after="160"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69DF" w:rsidRPr="00157499" w:rsidRDefault="00B269DF" w:rsidP="00157499">
            <w:pPr>
              <w:spacing w:after="160"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Correlations</w:t>
            </w:r>
          </w:p>
        </w:tc>
      </w:tr>
      <w:tr w:rsidR="001132E2" w:rsidTr="000B0226"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69DF" w:rsidRPr="00157499" w:rsidRDefault="00B269DF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i/>
                <w:sz w:val="24"/>
                <w:szCs w:val="24"/>
              </w:rPr>
              <w:t>SD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32E2" w:rsidTr="00942502">
        <w:trPr>
          <w:trHeight w:val="584"/>
        </w:trPr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Conscientiousness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9DF" w:rsidRPr="00157499" w:rsidRDefault="00B269DF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9DF" w:rsidRPr="00157499" w:rsidRDefault="00B269DF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E2" w:rsidTr="000B0226">
        <w:tc>
          <w:tcPr>
            <w:tcW w:w="1665" w:type="dxa"/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Neatness</w:t>
            </w:r>
          </w:p>
        </w:tc>
        <w:tc>
          <w:tcPr>
            <w:tcW w:w="1559" w:type="dxa"/>
            <w:hideMark/>
          </w:tcPr>
          <w:p w:rsidR="00B269DF" w:rsidRPr="00660098" w:rsidRDefault="00660098" w:rsidP="00660098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3.05</w:t>
            </w:r>
          </w:p>
        </w:tc>
        <w:tc>
          <w:tcPr>
            <w:tcW w:w="1459" w:type="dxa"/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1559" w:type="dxa"/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559" w:type="dxa"/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-0.20</w:t>
            </w:r>
          </w:p>
        </w:tc>
        <w:tc>
          <w:tcPr>
            <w:tcW w:w="1559" w:type="dxa"/>
          </w:tcPr>
          <w:p w:rsidR="00B269DF" w:rsidRPr="00157499" w:rsidRDefault="00B269DF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E2" w:rsidTr="000B0226"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Number of countries visited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2502" w:rsidRPr="00157499" w:rsidRDefault="00660098" w:rsidP="00157499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3.27</w:t>
            </w:r>
          </w:p>
          <w:p w:rsidR="00B269DF" w:rsidRPr="00157499" w:rsidRDefault="00B269DF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3FD" w:rsidRPr="001574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3FD" w:rsidRPr="0015749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69DF" w:rsidRPr="00157499" w:rsidRDefault="00660098" w:rsidP="00157499">
            <w:pPr>
              <w:spacing w:after="16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499">
              <w:rPr>
                <w:rFonts w:ascii="Times New Roman" w:hAnsi="Times New Roman" w:cs="Times New Roman"/>
                <w:sz w:val="24"/>
                <w:szCs w:val="24"/>
              </w:rPr>
              <w:t>-0.05</w:t>
            </w:r>
          </w:p>
        </w:tc>
      </w:tr>
      <w:bookmarkEnd w:id="0"/>
    </w:tbl>
    <w:p w:rsidR="00B269DF" w:rsidRPr="00157499" w:rsidRDefault="00B269DF" w:rsidP="001574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269DF" w:rsidRPr="00157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25871"/>
    <w:multiLevelType w:val="multilevel"/>
    <w:tmpl w:val="39D4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A367F"/>
    <w:multiLevelType w:val="multilevel"/>
    <w:tmpl w:val="B92C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7B5BD6"/>
    <w:multiLevelType w:val="multilevel"/>
    <w:tmpl w:val="E7AE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1A"/>
    <w:rsid w:val="000D041A"/>
    <w:rsid w:val="001132E2"/>
    <w:rsid w:val="0012080C"/>
    <w:rsid w:val="00157499"/>
    <w:rsid w:val="002E4F78"/>
    <w:rsid w:val="0043128F"/>
    <w:rsid w:val="005835F9"/>
    <w:rsid w:val="00660098"/>
    <w:rsid w:val="006D0D39"/>
    <w:rsid w:val="007147C3"/>
    <w:rsid w:val="00857E48"/>
    <w:rsid w:val="00893810"/>
    <w:rsid w:val="00942502"/>
    <w:rsid w:val="00956B76"/>
    <w:rsid w:val="00AB2014"/>
    <w:rsid w:val="00B269DF"/>
    <w:rsid w:val="00C0089A"/>
    <w:rsid w:val="00E9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F4C44-E8FF-4C78-80B1-2526BE2C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76"/>
  </w:style>
  <w:style w:type="paragraph" w:styleId="Footer">
    <w:name w:val="footer"/>
    <w:basedOn w:val="Normal"/>
    <w:link w:val="FooterChar"/>
    <w:uiPriority w:val="99"/>
    <w:unhideWhenUsed/>
    <w:rsid w:val="00956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GITHINJI SAMMIE</dc:creator>
  <cp:lastModifiedBy>GITHINJI SAMMIE</cp:lastModifiedBy>
  <cp:revision>3</cp:revision>
  <dcterms:created xsi:type="dcterms:W3CDTF">2021-02-21T20:54:00Z</dcterms:created>
  <dcterms:modified xsi:type="dcterms:W3CDTF">2021-02-21T20:55:00Z</dcterms:modified>
</cp:coreProperties>
</file>